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2B" w:rsidRDefault="00A2425E">
      <w:pPr>
        <w:rPr>
          <w:rtl/>
        </w:rPr>
      </w:pPr>
    </w:p>
    <w:p w:rsidR="006847EB" w:rsidRDefault="006847EB" w:rsidP="006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847EB" w:rsidRPr="006847EB" w:rsidRDefault="006847EB" w:rsidP="00A2425E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48"/>
          <w:szCs w:val="48"/>
          <w:lang w:eastAsia="fr-FR"/>
        </w:rPr>
      </w:pPr>
      <w:proofErr w:type="spellStart"/>
      <w:r w:rsidRPr="006847EB">
        <w:rPr>
          <w:rFonts w:ascii="Times New Roman" w:eastAsia="Times New Roman" w:hAnsi="Times New Roman" w:cs="B Mitra" w:hint="cs"/>
          <w:b/>
          <w:bCs/>
          <w:sz w:val="48"/>
          <w:szCs w:val="48"/>
          <w:rtl/>
          <w:lang w:eastAsia="fr-FR"/>
        </w:rPr>
        <w:t>برخورد</w:t>
      </w:r>
      <w:proofErr w:type="spellEnd"/>
      <w:r w:rsidRPr="006847EB">
        <w:rPr>
          <w:rFonts w:ascii="Times New Roman" w:eastAsia="Times New Roman" w:hAnsi="Times New Roman" w:cs="B Mitra" w:hint="cs"/>
          <w:b/>
          <w:bCs/>
          <w:sz w:val="48"/>
          <w:szCs w:val="48"/>
          <w:rtl/>
          <w:lang w:eastAsia="fr-FR"/>
        </w:rPr>
        <w:t xml:space="preserve"> تمدنها </w:t>
      </w:r>
      <w:bookmarkStart w:id="0" w:name="_GoBack"/>
      <w:bookmarkEnd w:id="0"/>
    </w:p>
    <w:p w:rsidR="006847EB" w:rsidRPr="006847EB" w:rsidRDefault="006847EB" w:rsidP="006847EB">
      <w:pPr>
        <w:spacing w:before="100" w:beforeAutospacing="1" w:after="30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  <w:lang w:eastAsia="fr-FR"/>
        </w:rPr>
      </w:pPr>
      <w:proofErr w:type="spellStart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>نوشتۀ</w:t>
      </w:r>
      <w:proofErr w:type="spellEnd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>تی</w:t>
      </w:r>
      <w:proofErr w:type="spellEnd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>یری</w:t>
      </w:r>
      <w:proofErr w:type="spellEnd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  <w:lang w:eastAsia="fr-FR"/>
        </w:rPr>
        <w:t>میسان</w:t>
      </w:r>
      <w:proofErr w:type="spellEnd"/>
    </w:p>
    <w:p w:rsidR="006847EB" w:rsidRPr="006847EB" w:rsidRDefault="006847EB" w:rsidP="006847EB">
      <w:pPr>
        <w:spacing w:before="100" w:beforeAutospacing="1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6847EB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Choc des civilisations 2</w:t>
      </w:r>
    </w:p>
    <w:p w:rsidR="006847EB" w:rsidRPr="006847EB" w:rsidRDefault="006847EB" w:rsidP="006847EB">
      <w:pPr>
        <w:spacing w:after="75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6847EB">
        <w:rPr>
          <w:rFonts w:ascii="Times New Roman" w:eastAsia="Times New Roman" w:hAnsi="Times New Roman" w:cs="Times New Roman"/>
          <w:lang w:eastAsia="fr-FR"/>
        </w:rPr>
        <w:t>par</w:t>
      </w:r>
      <w:proofErr w:type="gramEnd"/>
      <w:r w:rsidRPr="006847EB">
        <w:rPr>
          <w:rFonts w:ascii="Times New Roman" w:eastAsia="Times New Roman" w:hAnsi="Times New Roman" w:cs="Times New Roman"/>
          <w:lang w:eastAsia="fr-FR"/>
        </w:rPr>
        <w:t xml:space="preserve"> Thierry </w:t>
      </w:r>
      <w:proofErr w:type="spellStart"/>
      <w:r w:rsidRPr="006847EB">
        <w:rPr>
          <w:rFonts w:ascii="Times New Roman" w:eastAsia="Times New Roman" w:hAnsi="Times New Roman" w:cs="Times New Roman"/>
          <w:lang w:eastAsia="fr-FR"/>
        </w:rPr>
        <w:t>Meyssan</w:t>
      </w:r>
      <w:proofErr w:type="spellEnd"/>
      <w:r w:rsidRPr="006847E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847EB" w:rsidRPr="00AF18ED" w:rsidRDefault="006847EB" w:rsidP="00AF18E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از 16 سال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بحث </w:t>
      </w:r>
      <w:proofErr w:type="gram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جدل</w:t>
      </w:r>
      <w:proofErr w:type="gram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شماری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کارشناسان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سیاسی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بین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المللی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تعیین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اهداف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استراتژی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ایالات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متحدۀ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آمریکا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بخود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واداشته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است.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روشن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ساده تر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توانیم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پس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دوران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قاطعیت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آغاز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آن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بگوئیم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وجود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خیلی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ندرت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چنین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کاری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انجام داده اند </w:t>
      </w:r>
      <w:proofErr w:type="gram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همچنان</w:t>
      </w:r>
      <w:proofErr w:type="spellEnd"/>
      <w:proofErr w:type="gram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تدریس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نظریاتی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ادامه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واقعیات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اعتباری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آنها را اثبات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است. 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اتکا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نتایج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بحث </w:t>
      </w:r>
      <w:proofErr w:type="gram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جدل</w:t>
      </w:r>
      <w:proofErr w:type="gram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ها،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یری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میسان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مرحلۀ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بعدی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بینی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شده </w:t>
      </w:r>
      <w:proofErr w:type="spellStart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ارتش </w:t>
      </w:r>
      <w:proofErr w:type="spellStart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ایالات</w:t>
      </w:r>
      <w:proofErr w:type="spellEnd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متحدۀ</w:t>
      </w:r>
      <w:proofErr w:type="spellEnd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آمریکا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بر اساس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نظریه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پردازانش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دوران را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یادآوری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کند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یعنی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مرحله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تواند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آینده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اجرا </w:t>
      </w:r>
      <w:proofErr w:type="spellStart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گذاشته</w:t>
      </w:r>
      <w:proofErr w:type="spellEnd"/>
      <w:r w:rsidR="00AF18ED"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شود.</w:t>
      </w:r>
    </w:p>
    <w:p w:rsidR="00AF18ED" w:rsidRPr="00AF18ED" w:rsidRDefault="00AF18ED" w:rsidP="006847EB">
      <w:pPr>
        <w:spacing w:after="0" w:line="240" w:lineRule="auto"/>
        <w:jc w:val="center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شبکۀ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ولتر| دمشق (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سوریه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)|8 </w:t>
      </w:r>
      <w:proofErr w:type="spellStart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اکتبر</w:t>
      </w:r>
      <w:proofErr w:type="spellEnd"/>
      <w:r w:rsidRPr="00AF18ED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2017</w:t>
      </w:r>
    </w:p>
    <w:p w:rsidR="006847EB" w:rsidRPr="006847EB" w:rsidRDefault="006847EB" w:rsidP="0068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47E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39C50E" wp14:editId="5EF1961A">
            <wp:extent cx="5952490" cy="8890"/>
            <wp:effectExtent l="0" t="0" r="0" b="0"/>
            <wp:docPr id="10" name="Image 10" descr="https://ci4.googleusercontent.com/proxy/3ItVIDke1Doh1W7HR9_p6A5YA8xClnbb1AWM5L1rKHkiCD_lJH-bKpPC9mqAHOKxYgPpXWV6JjiGYAh75e39laawZcWMHHF4asW6IbQqKVu2M6ZjOD_rKTDWwA=s0-d-e1-ft#http://www.voltairenet.org/squelettes/elements/images/ligne-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4.googleusercontent.com/proxy/3ItVIDke1Doh1W7HR9_p6A5YA8xClnbb1AWM5L1rKHkiCD_lJH-bKpPC9mqAHOKxYgPpXWV6JjiGYAh75e39laawZcWMHHF4asW6IbQqKVu2M6ZjOD_rKTDWwA=s0-d-e1-ft#http://www.voltairenet.org/squelettes/elements/images/ligne-rou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EB" w:rsidRPr="006847EB" w:rsidRDefault="006847EB" w:rsidP="0068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47EB" w:rsidRDefault="006847EB" w:rsidP="00AF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3C5D57AB" wp14:editId="66E504AF">
            <wp:extent cx="3260785" cy="3079307"/>
            <wp:effectExtent l="0" t="0" r="0" b="6985"/>
            <wp:docPr id="3" name="Picture 3" descr="PEG - 281.9 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EG - 281.9 k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0" cy="30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ED" w:rsidRPr="006847EB" w:rsidRDefault="00AF18ED" w:rsidP="00AF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ابوبکر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بغدادی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و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آشین</w:t>
      </w:r>
      <w:proofErr w:type="spellEnd"/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ویتارتو</w:t>
      </w:r>
      <w:proofErr w:type="spellEnd"/>
    </w:p>
    <w:p w:rsidR="006847EB" w:rsidRPr="006847EB" w:rsidRDefault="006847EB" w:rsidP="0068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Abou </w:t>
      </w:r>
      <w:proofErr w:type="spellStart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Bakr</w:t>
      </w:r>
      <w:proofErr w:type="spellEnd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al-</w:t>
      </w:r>
      <w:proofErr w:type="spellStart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Baghdadi</w:t>
      </w:r>
      <w:proofErr w:type="spellEnd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&amp; </w:t>
      </w:r>
      <w:proofErr w:type="spellStart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Ashin</w:t>
      </w:r>
      <w:proofErr w:type="spellEnd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Wirathu</w:t>
      </w:r>
      <w:proofErr w:type="spellEnd"/>
    </w:p>
    <w:p w:rsidR="00AF18ED" w:rsidRDefault="00AF18ED" w:rsidP="0068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AF18ED" w:rsidRPr="003B3A16" w:rsidRDefault="00AF18ED" w:rsidP="00F3088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lastRenderedPageBreak/>
        <w:t>نیروهائی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طرح</w:t>
      </w:r>
      <w:r w:rsidR="00BB7142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B7142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تخریب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«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خاورمیانۀ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بزرگ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»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اندیشیده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در</w:t>
      </w:r>
      <w:proofErr w:type="gram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نظر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گرفته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شده اند،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منطقۀ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خاورمیانه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به مثابه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ازمایشگاهی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تلقی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کردند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استراتژی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نوین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باید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آن به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آزمون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گذاشته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شود... </w:t>
      </w:r>
      <w:proofErr w:type="spellStart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اگر</w:t>
      </w:r>
      <w:proofErr w:type="spellEnd"/>
      <w:r w:rsidR="00EF736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سال 2001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شامل</w:t>
      </w:r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دولتهای</w:t>
      </w:r>
      <w:proofErr w:type="spellEnd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ایالات</w:t>
      </w:r>
      <w:proofErr w:type="spellEnd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متحدۀ</w:t>
      </w:r>
      <w:proofErr w:type="spellEnd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آمریکا</w:t>
      </w:r>
      <w:proofErr w:type="spellEnd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بریتانیا</w:t>
      </w:r>
      <w:proofErr w:type="spellEnd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="00ED549D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اسرائیل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بود، قدرت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سیاسی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در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واشنگتن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دست داده اند و طرح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اقتصادی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نظامی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خود را در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پیوند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شرکت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چند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ملیتی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خصوصی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ادامه 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F3088F" w:rsidRPr="003B3A16">
        <w:rPr>
          <w:rFonts w:ascii="Cambria" w:eastAsia="Times New Roman" w:hAnsi="Cambria" w:cs="Cambria" w:hint="cs"/>
          <w:sz w:val="32"/>
          <w:szCs w:val="32"/>
          <w:rtl/>
          <w:lang w:eastAsia="fr-FR"/>
        </w:rPr>
        <w:t> </w:t>
      </w:r>
      <w:proofErr w:type="spellStart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="00723FDC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F3088F" w:rsidRPr="003B3A16" w:rsidRDefault="00F3088F" w:rsidP="00F3088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استراتژی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خودشان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از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یک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سو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پیرامون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بررسی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دریادار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آرتور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سبروسکی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Pr="003B3A16">
        <w:rPr>
          <w:rFonts w:ascii="Times New Roman" w:eastAsia="Times New Roman" w:hAnsi="Times New Roman" w:cs="B Mitra"/>
          <w:sz w:val="32"/>
          <w:szCs w:val="32"/>
          <w:lang w:eastAsia="fr-FR"/>
        </w:rPr>
        <w:t xml:space="preserve">Arthur </w:t>
      </w:r>
      <w:proofErr w:type="spellStart"/>
      <w:r w:rsidRPr="003B3A16">
        <w:rPr>
          <w:rFonts w:ascii="Times New Roman" w:eastAsia="Times New Roman" w:hAnsi="Times New Roman" w:cs="B Mitra"/>
          <w:sz w:val="32"/>
          <w:szCs w:val="32"/>
          <w:lang w:eastAsia="fr-FR"/>
        </w:rPr>
        <w:t>Cebrowski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معاونش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توماس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بارنت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Pr="003B3A16">
        <w:rPr>
          <w:rFonts w:ascii="Times New Roman" w:eastAsia="Times New Roman" w:hAnsi="Times New Roman" w:cs="B Mitra"/>
          <w:sz w:val="32"/>
          <w:szCs w:val="32"/>
          <w:lang w:eastAsia="fr-FR"/>
        </w:rPr>
        <w:t>Thomas Barnett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پنتاگون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و از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دیگر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برنارد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لویس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Pr="003B3A16">
        <w:rPr>
          <w:rFonts w:ascii="Times New Roman" w:eastAsia="Times New Roman" w:hAnsi="Times New Roman" w:cs="B Mitra"/>
          <w:sz w:val="32"/>
          <w:szCs w:val="32"/>
          <w:lang w:eastAsia="fr-FR"/>
        </w:rPr>
        <w:t>Bernard Lewis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معاونش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ساموئل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هانتینگنتون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Pr="003B3A16">
        <w:rPr>
          <w:rFonts w:ascii="Times New Roman" w:eastAsia="Times New Roman" w:hAnsi="Times New Roman" w:cs="B Mitra"/>
          <w:sz w:val="32"/>
          <w:szCs w:val="32"/>
          <w:lang w:eastAsia="fr-FR"/>
        </w:rPr>
        <w:t>Samuel Huntington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شورای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امنیت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ملی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طراحی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اند (1).</w:t>
      </w:r>
    </w:p>
    <w:p w:rsidR="00F3088F" w:rsidRPr="003B3A16" w:rsidRDefault="00F3088F" w:rsidP="00B07CC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هدفشان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هم زمان تسلط خود را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تحولات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فنی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اقتصادی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معاصر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تطبی</w:t>
      </w:r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آن را به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کشورهای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سابقاً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سوسیالیست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گسترش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گذشته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واشنگتن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اقتصاد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جهانی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از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طریق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بازار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جهانی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انرژی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تحمیل</w:t>
      </w:r>
      <w:proofErr w:type="spellEnd"/>
      <w:proofErr w:type="gram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دلار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هر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گونه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قرارداد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نفتی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کنترل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</w:t>
      </w:r>
      <w:proofErr w:type="gram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آنانی</w:t>
      </w:r>
      <w:proofErr w:type="spellEnd"/>
      <w:proofErr w:type="gram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خواستند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قاعده را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ندیده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بگیرند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به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جنگ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تهدید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CC4AFE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شدند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ولی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B3C77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گزینش</w:t>
      </w:r>
      <w:proofErr w:type="spellEnd"/>
      <w:r w:rsidR="005B3C77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B3C77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جزئی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گاز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روسیه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ایران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قطر </w:t>
      </w:r>
      <w:proofErr w:type="gram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به</w:t>
      </w:r>
      <w:proofErr w:type="gram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زودی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سوریه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بجای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نفت</w:t>
      </w:r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B07CC0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نظم</w:t>
      </w:r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نمی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توانست</w:t>
      </w:r>
      <w:proofErr w:type="spellEnd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ادامه </w:t>
      </w:r>
      <w:proofErr w:type="spellStart"/>
      <w:r w:rsidR="0054752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یابد</w:t>
      </w:r>
      <w:proofErr w:type="spellEnd"/>
      <w:r w:rsidR="005B3C77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5B3C77" w:rsidRPr="003B3A16" w:rsidRDefault="005B3C77" w:rsidP="00B07CC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پیوند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مجدد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تاریخ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تبهکار</w:t>
      </w:r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نزد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بخش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بزرگی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مهاجران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آمریکائی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تخیلاتشان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فکر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افتادند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تسلط خود را بر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کشورهای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غنی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زور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بگیری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ادامه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نه فقط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دسترسی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منابع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انرژی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فسیل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بلکه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بطور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کلی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دسترسی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مواد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اولیه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دولتهای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ثبات (به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علاوه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شوروی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سابق)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باید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«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حمایت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» ارتش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ایالات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متحدۀ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آمریکا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به</w:t>
      </w:r>
      <w:proofErr w:type="gram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شکل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جانبی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ارتش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بریتانیا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اسرائیل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درخواست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="00166E6E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166E6E" w:rsidRPr="003B3A16" w:rsidRDefault="00166E6E" w:rsidP="00166E6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تحقق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چنین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طرحی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مسلتزم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تقسیم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جهان به دو بخش بود،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جهانی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سازی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اقتصادهای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اعتبار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تخریب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کل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قابلیت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مقاومت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بقیۀ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جهان.</w:t>
      </w:r>
    </w:p>
    <w:p w:rsidR="00166E6E" w:rsidRPr="003B3A16" w:rsidRDefault="00166E6E" w:rsidP="00E7542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جهان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خیلی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آنچه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امپراتوری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بریتانیا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صهیونیسم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رواج داشت تفاوت دارد.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تغییر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وادی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(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پارادیگم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)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نمی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توانست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تحقق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یابد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مگر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یک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بسیج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شوک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روانی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،</w:t>
      </w:r>
      <w:r w:rsidR="00B8644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8644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یک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«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پرل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هاربر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جدید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». نامش 11 </w:t>
      </w:r>
      <w:proofErr w:type="spellStart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سپتامبر</w:t>
      </w:r>
      <w:proofErr w:type="spellEnd"/>
      <w:r w:rsidR="00E75423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است.</w:t>
      </w:r>
    </w:p>
    <w:p w:rsidR="00B86443" w:rsidRPr="003B3A16" w:rsidRDefault="00F05A85" w:rsidP="00B8644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اگر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طرح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هذیان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آمیز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اسفناک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بنظر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رسید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16 سال بعد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توانیم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ببینیم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واقع در شرف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تکوین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 و به موانع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پیشبینی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ناپذیر</w:t>
      </w:r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برخورد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است.</w:t>
      </w:r>
    </w:p>
    <w:p w:rsidR="00F05A85" w:rsidRPr="003B3A16" w:rsidRDefault="00F05A85" w:rsidP="00B07CC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lastRenderedPageBreak/>
        <w:t>جهانی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سازی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اقتصاد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کشورهای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اعتبار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تقریباً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کاملاً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تکوین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یافته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بود تا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یکی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آنها،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روسیه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شکل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نظامی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تخریب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قابلیتهای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مقاومت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سوریه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سپس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ضمیمه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سازی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اجباری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اوکراین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اقتصاد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جهانی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نیز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مخالفت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نتیجه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واشنگتن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لندن</w:t>
      </w:r>
      <w:proofErr w:type="gram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همپیمانان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خود دستور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دادند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مسکو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تحریم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اقتصادی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چنین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حرکتی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روند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جهانی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سازی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کشورهای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معتبر را متوقف </w:t>
      </w:r>
      <w:proofErr w:type="spellStart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کردند</w:t>
      </w:r>
      <w:proofErr w:type="spellEnd"/>
      <w:r w:rsidR="002612DB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2612DB" w:rsidRPr="003B3A16" w:rsidRDefault="002612DB" w:rsidP="002612D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اندازی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طرح «راه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ابریشم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»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شکل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قابل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توجهی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کشور</w:t>
      </w:r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هائی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تخریب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محکوم</w:t>
      </w:r>
      <w:proofErr w:type="spellEnd"/>
      <w:r w:rsidR="00B07CC0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شده بود</w:t>
      </w: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سرمایه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گذاری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نیروهائی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«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نقشۀ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جدید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جهان» را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سیلقۀ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خودشان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ترسیم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رویاروئی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وضعیت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واکنش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نشان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دادند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یک</w:t>
      </w:r>
      <w:proofErr w:type="spellEnd"/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دولت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تروریست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وجود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آوردند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تا راه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ابریشم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قدیمی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قطع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عراق و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سوریه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عبور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اوکراین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نیز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صحنۀ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جنگ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تبدیل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کردند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تا راه دوم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ابریشم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مسدود </w:t>
      </w:r>
      <w:proofErr w:type="spellStart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کند</w:t>
      </w:r>
      <w:proofErr w:type="spellEnd"/>
      <w:r w:rsidR="00717799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717799" w:rsidRPr="003B3A16" w:rsidRDefault="00717799" w:rsidP="0071779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حال حاضر بر آن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هستند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هرج </w:t>
      </w:r>
      <w:proofErr w:type="gram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مرج</w:t>
      </w:r>
      <w:proofErr w:type="gram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منطقۀ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دیگری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آسیای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جنوب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شرقی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گسترش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دهند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گزارش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کمیتۀ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ضد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تروریست</w:t>
      </w:r>
      <w:proofErr w:type="spellEnd"/>
      <w:r w:rsidR="003D5287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سازمان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ملل متحد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تخمین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زده شده است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جهاد طلبان به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آنجا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مهاجرت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کرده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اند.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چنین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حرکتی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نیروها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دوران 16-2012 در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خاورمیانه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خاتمه داده اند،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هیچ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پیشداوری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دربارۀ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جنگ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پیرامون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کُردها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تخریب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آسیای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جنوب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شرقی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را آماده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</w:t>
      </w:r>
      <w:proofErr w:type="gram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proofErr w:type="gram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دومین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مرحله از «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برخورد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تمدنها»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خواهد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بود،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پس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مسلمانان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علیه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«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یهودی-مسیحیان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» (2)،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بار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مسلمانان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علیه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بودائی</w:t>
      </w:r>
      <w:proofErr w:type="spellEnd"/>
      <w:r w:rsidR="004F26EF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ها.</w:t>
      </w:r>
    </w:p>
    <w:p w:rsidR="006847EB" w:rsidRPr="006847EB" w:rsidRDefault="00A2425E" w:rsidP="006847EB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6" w:tgtFrame="_blank" w:history="1">
        <w:r w:rsidR="006847EB" w:rsidRPr="006847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 xml:space="preserve">Thierry </w:t>
        </w:r>
        <w:proofErr w:type="spellStart"/>
        <w:r w:rsidR="006847EB" w:rsidRPr="006847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Meyssan</w:t>
        </w:r>
        <w:proofErr w:type="spellEnd"/>
      </w:hyperlink>
      <w:r w:rsidR="006847EB"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847EB" w:rsidRPr="006847EB" w:rsidRDefault="006847EB" w:rsidP="006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47E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E5AA630" wp14:editId="1CD132D8">
            <wp:extent cx="224155" cy="224155"/>
            <wp:effectExtent l="0" t="0" r="0" b="0"/>
            <wp:docPr id="12" name="Image 12" descr="&lt;:ver_imprimer: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lt;:ver_imprimer: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76A67380" wp14:editId="1E1EF632">
            <wp:extent cx="224155" cy="224155"/>
            <wp:effectExtent l="0" t="0" r="0" b="0"/>
            <wp:docPr id="13" name="Image 13" descr="Facebook">
              <a:hlinkClick xmlns:a="http://schemas.openxmlformats.org/drawingml/2006/main" r:id="rId8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">
                      <a:hlinkClick r:id="rId8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6AA9DD46" wp14:editId="57704384">
            <wp:extent cx="224155" cy="224155"/>
            <wp:effectExtent l="0" t="0" r="0" b="0"/>
            <wp:docPr id="14" name="Image 14" descr="Twitter">
              <a:hlinkClick xmlns:a="http://schemas.openxmlformats.org/drawingml/2006/main" r:id="rId9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witter">
                      <a:hlinkClick r:id="rId9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119AB64D" wp14:editId="2B78B5BE">
            <wp:extent cx="224155" cy="224155"/>
            <wp:effectExtent l="0" t="0" r="0" b="0"/>
            <wp:docPr id="15" name="Image 15" descr="Delicious">
              <a:hlinkClick xmlns:a="http://schemas.openxmlformats.org/drawingml/2006/main" r:id="rId10" tgtFrame="&quot;_blank&quot;" tooltip="&quot;Delicio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licious">
                      <a:hlinkClick r:id="rId10" tgtFrame="&quot;_blank&quot;" tooltip="&quot;Delicio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775062B7" wp14:editId="31999189">
            <wp:extent cx="224155" cy="224155"/>
            <wp:effectExtent l="0" t="0" r="0" b="0"/>
            <wp:docPr id="16" name="Image 16" descr="Seenthis">
              <a:hlinkClick xmlns:a="http://schemas.openxmlformats.org/drawingml/2006/main" r:id="rId11" tgtFrame="&quot;_blank&quot;" tooltip="&quot;Seenth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nthis">
                      <a:hlinkClick r:id="rId11" tgtFrame="&quot;_blank&quot;" tooltip="&quot;Seenth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61E7EFE7" wp14:editId="56B37B5C">
            <wp:extent cx="224155" cy="224155"/>
            <wp:effectExtent l="0" t="0" r="0" b="0"/>
            <wp:docPr id="17" name="Image 17" descr="Digg">
              <a:hlinkClick xmlns:a="http://schemas.openxmlformats.org/drawingml/2006/main" r:id="rId12" tgtFrame="&quot;_blank&quot;" tooltip="&quot;Dig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gg">
                      <a:hlinkClick r:id="rId12" tgtFrame="&quot;_blank&quot;" tooltip="&quot;Dig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 wp14:anchorId="19EB60A4" wp14:editId="5D6A277C">
            <wp:extent cx="224155" cy="224155"/>
            <wp:effectExtent l="0" t="0" r="0" b="0"/>
            <wp:docPr id="18" name="Image 18" descr="RSS">
              <a:hlinkClick xmlns:a="http://schemas.openxmlformats.org/drawingml/2006/main" r:id="rId13" tgtFrame="&quot;_blank&quot;" tooltip="&quot;R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SS">
                      <a:hlinkClick r:id="rId13" tgtFrame="&quot;_blank&quot;" tooltip="&quot;R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EB" w:rsidRPr="006847EB" w:rsidRDefault="006847EB" w:rsidP="0068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[</w:t>
      </w:r>
      <w:hyperlink r:id="rId14" w:anchor="nh1" w:tgtFrame="_blank" w:tooltip="Notes 1" w:history="1">
        <w:r w:rsidRPr="006847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1</w:t>
        </w:r>
      </w:hyperlink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] </w:t>
      </w:r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Network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Centric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Warfare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 :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Developing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and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Leveraging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Information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Superiority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David S.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Alberts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John J.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Garstka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&amp; Frederick P. Stein, CCRP, 1999. </w:t>
      </w:r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The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Pentagon’s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New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Map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Thomas P. M. Barnett, Putnam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Publishing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Group, 2004. « The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Roots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Muslim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Rage », Bernard Lewis, </w:t>
      </w:r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Atlantic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Monthly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septembre1990. « The Clash of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Civilizations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? » &amp; « The West Unique, Not Universal », Samuel Huntington,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Foreign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Affairs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1993 &amp; 1996 ; </w:t>
      </w:r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The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Soldier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and the State</w:t>
      </w:r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&amp; </w:t>
      </w:r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The Clash of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Civilizations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and the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Remaking</w:t>
      </w:r>
      <w:proofErr w:type="spellEnd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of World </w:t>
      </w:r>
      <w:proofErr w:type="spellStart"/>
      <w:r w:rsidRPr="006847E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Order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Samuel Huntington, Harvard 1957 &amp; Simon and </w:t>
      </w:r>
      <w:proofErr w:type="spellStart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>Schulster</w:t>
      </w:r>
      <w:proofErr w:type="spellEnd"/>
      <w:r w:rsidRPr="0068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1996.</w:t>
      </w:r>
    </w:p>
    <w:p w:rsidR="004F26EF" w:rsidRDefault="004F26EF" w:rsidP="003B3A1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2) اصلاح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یهودی-مسیحی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بطور مشخص تا سال 90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معنای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گروه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یهودیانی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بود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پیرامون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ژاک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قدیس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مسیحیت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گرویده</w:t>
      </w:r>
      <w:proofErr w:type="spellEnd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بودند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گروه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پس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غارت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اورشلیم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توسط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رومی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ها منحل شد.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وجود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این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مسیحیان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غربی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در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سنتهای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مذهبی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خود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همچنان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برای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کتاب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عهد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قدیم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اهمیت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بسیاری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قائل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هستند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آنکه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به تفاوت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دیدگاه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مسیحی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gram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و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یهودی</w:t>
      </w:r>
      <w:proofErr w:type="spellEnd"/>
      <w:proofErr w:type="gram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آگاه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باشند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. بر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عکس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،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مسیحیان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شرق، به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سنتهای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پیشینیان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خود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lastRenderedPageBreak/>
        <w:t>وفادار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باقی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مانده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اند </w:t>
      </w:r>
      <w:proofErr w:type="gram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و به</w:t>
      </w:r>
      <w:proofErr w:type="gram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ندرت به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نوشته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های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یهودی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مراجعه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و در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ع</w:t>
      </w:r>
      <w:r w:rsid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ِ</w:t>
      </w:r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شای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رب</w:t>
      </w:r>
      <w:r w:rsid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ّ</w:t>
      </w:r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انی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از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خواندن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آنها امتناع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می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کنند</w:t>
      </w:r>
      <w:proofErr w:type="spellEnd"/>
      <w:r w:rsidR="003B3A16" w:rsidRPr="003B3A16"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.</w:t>
      </w:r>
    </w:p>
    <w:p w:rsidR="004C6882" w:rsidRDefault="004C6882" w:rsidP="004C688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</w:p>
    <w:p w:rsidR="00EE1D5D" w:rsidRPr="003B3A16" w:rsidRDefault="00EE1D5D" w:rsidP="00EE1D5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  <w:rtl/>
          <w:lang w:eastAsia="fr-FR"/>
        </w:rPr>
      </w:pPr>
      <w:proofErr w:type="spellStart"/>
      <w:r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ترجمۀ</w:t>
      </w:r>
      <w:proofErr w:type="spellEnd"/>
      <w:r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حمید</w:t>
      </w:r>
      <w:proofErr w:type="spellEnd"/>
      <w:r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B Mitra" w:hint="cs"/>
          <w:sz w:val="32"/>
          <w:szCs w:val="32"/>
          <w:rtl/>
          <w:lang w:eastAsia="fr-FR"/>
        </w:rPr>
        <w:t>محوی</w:t>
      </w:r>
      <w:proofErr w:type="spellEnd"/>
    </w:p>
    <w:p w:rsidR="006847EB" w:rsidRPr="00AF18ED" w:rsidRDefault="006847EB">
      <w:pPr>
        <w:rPr>
          <w:sz w:val="28"/>
          <w:szCs w:val="28"/>
        </w:rPr>
      </w:pPr>
    </w:p>
    <w:sectPr w:rsidR="006847EB" w:rsidRPr="00AF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B"/>
    <w:rsid w:val="00166E6E"/>
    <w:rsid w:val="002612DB"/>
    <w:rsid w:val="003B3A16"/>
    <w:rsid w:val="003D5287"/>
    <w:rsid w:val="004C6882"/>
    <w:rsid w:val="004F26EF"/>
    <w:rsid w:val="0054752E"/>
    <w:rsid w:val="005B3C77"/>
    <w:rsid w:val="006847EB"/>
    <w:rsid w:val="00691850"/>
    <w:rsid w:val="00717799"/>
    <w:rsid w:val="00723FDC"/>
    <w:rsid w:val="008C3E1A"/>
    <w:rsid w:val="00A2425E"/>
    <w:rsid w:val="00AF18ED"/>
    <w:rsid w:val="00B07CC0"/>
    <w:rsid w:val="00B86443"/>
    <w:rsid w:val="00BB7142"/>
    <w:rsid w:val="00CC4AFE"/>
    <w:rsid w:val="00E75423"/>
    <w:rsid w:val="00ED549D"/>
    <w:rsid w:val="00EE1D5D"/>
    <w:rsid w:val="00EF736C"/>
    <w:rsid w:val="00F05A85"/>
    <w:rsid w:val="00F3088F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05E3-B3EB-40C8-814D-3249ED6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69546">
                              <w:marLeft w:val="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04330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://www.voltairenet.org/article198286.html&amp;t=Choc%20des%20civilisations%202%20%5bR&#233;seau%20Voltaire%5d" TargetMode="External"/><Relationship Id="rId13" Type="http://schemas.openxmlformats.org/officeDocument/2006/relationships/hyperlink" Target="http://www.voltairenet.org/spip.php?page=backend&amp;id_secteur=1110&amp;lang=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digg.com/submit?phase=2&amp;url=http://www.voltairenet.org/article198286.html&amp;title=Choc%20des%20civilisations%202%20%5bR&#233;seau%20Voltaire%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oltairenet.org/auteur29.html?lang=fr" TargetMode="External"/><Relationship Id="rId11" Type="http://schemas.openxmlformats.org/officeDocument/2006/relationships/hyperlink" Target="http://seenthis.net/#ajouter=*Choc%20des%20civilisations%202*%20%7C%20Thierry%20Meyssan&amp;url_site=http://www.voltairenet.org/article198286.html&amp;extrait=Depuis%2016%20ans,%20de%20nombreux%20d&#233;bats%20ont%20agit&#233;%20les%20experts%20de%20politique%20internationale%20pour%20d&#233;terminer%20les%20objectifs%20de%20la%20strat&#233;gie%20&#233;tats-unienne.%20Il%20est%20&#233;videmment%20plus%20facile%20de%20trancher%20apr&#232;s%20cette%20p&#233;riode%20qu'&#224;%20son%20d&#233;but.%20Pourtant%20tr&#232;s%20peu%20l'ont%20fait%20et%20beaucoup%20persistent%20&#224;%20enseigner%20des%20th&#233;ories%20qui%20ont%20&#233;t&#233;%20d&#233;menties%20par%20les%20faits.%20S'appuyant%20sur%20les%20conclusions%20de%20ce%20d&#233;bat,%20Thierry%20Meyssan%20rappelle%20l'&#233;tape%20suivante%20pr&#233;vue%20pour%20les%20arm&#233;es%20US%20selon%20leurs%20th&#233;oriciens%20d'avant%20cette%20p&#233;riode%20;%20une%20&#233;tape%20qui%20pourrait%20&#234;tre%20prochainement%20mise%20en%20oeuvre.&amp;txt=%23Axis%20for%20Peace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del.icio.us/post?url=http://www.voltairenet.org/article198286.html&amp;title=Choc%20des%20civilisations%202%20%5bR&#233;seau%20Voltaire%5d&amp;notes=Depuis%2016%20ans,%20de%20nombreux%20d&#233;bats%20ont%20agit&#233;%20les%20experts%20de%20politique%20internationale%20pour%20d&#233;terminer%20les%20objectifs%20de%20la%20strat&#233;gie%20&#233;tats-unienne.%20Il%20est%20&#233;videmment%20plus%20facile%20de%20trancher%20apr&#232;s%20cette%20p&#233;riode%20qu'&#224;%20son%20d&#233;but.%20Pourtant%20tr&#232;s%20peu%20l'ont%20fait%20et%20beaucoup%20persistent%20&#224;%20enseigner%20des%20th&#233;ories%20qui%20ont%20&#233;t&#233;%20d&#233;menties%20par%20les%20faits.%20S'appuyant%20sur%20les%20conclusions%20de%20ce%20d&#233;bat,%20Thierry%20Meyssan%20rappelle%20l'&#233;tape%20suivante%20pr&#233;vue%20pour%20les%20arm&#233;es%20US%20selon%20leurs%20th&#233;oriciens%20d'avant%20cette%20p&#233;riode%20;%20une%20&#233;tape%20qui%20pourrait%20&#234;tre%20prochainement%20mise%20en%20oeuvre.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twitter.com/?status=Choc%20des%20civilisations%202%20http://www.voltairenet.org/a198286%20%5bR&#233;seau%20Voltaire%5d" TargetMode="External"/><Relationship Id="rId14" Type="http://schemas.openxmlformats.org/officeDocument/2006/relationships/hyperlink" Target="http://www.voltairenet.org/article198286.html?var_mode=pre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2017-10-08T18:54:00Z</dcterms:created>
  <dcterms:modified xsi:type="dcterms:W3CDTF">2017-10-09T03:23:00Z</dcterms:modified>
</cp:coreProperties>
</file>